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9029.0" w:type="dxa"/>
        <w:jc w:val="left"/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drawing>
                <wp:inline distB="114300" distT="114300" distL="114300" distR="114300">
                  <wp:extent cx="1774947" cy="890588"/>
                  <wp:effectExtent b="0" l="0" r="0" t="0"/>
                  <wp:docPr descr="Лого.jpg" id="1" name="image01.jpg"/>
                  <a:graphic>
                    <a:graphicData uri="http://schemas.openxmlformats.org/drawingml/2006/picture">
                      <pic:pic>
                        <pic:nvPicPr>
                          <pic:cNvPr descr="Лого.jpg" id="0" name="image01.jpg"/>
                          <pic:cNvPicPr preferRelativeResize="0"/>
                        </pic:nvPicPr>
                        <pic:blipFill>
                          <a:blip r:embed="rId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947" cy="89058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right"/>
            </w:pPr>
            <w:r w:rsidDel="00000000" w:rsidR="00000000" w:rsidRPr="00000000">
              <w:rPr>
                <w:b w:val="1"/>
                <w:rtl w:val="0"/>
              </w:rPr>
              <w:t xml:space="preserve">Аналитическая компания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right"/>
            </w:pPr>
            <w:r w:rsidDel="00000000" w:rsidR="00000000" w:rsidRPr="00000000">
              <w:rPr>
                <w:b w:val="1"/>
                <w:rtl w:val="0"/>
              </w:rPr>
              <w:t xml:space="preserve">“Просто цифры”</w:t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www.prostocifry.ru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Рейтинг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“Как изменились расходы регионов”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О рейтинге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Verdana" w:cs="Verdana" w:eastAsia="Verdana" w:hAnsi="Verdana"/>
          <w:color w:val="545353"/>
          <w:sz w:val="20"/>
          <w:szCs w:val="20"/>
          <w:highlight w:val="white"/>
          <w:rtl w:val="0"/>
        </w:rPr>
        <w:t xml:space="preserve">Весь декабрь региональные минфины и депутаты ломали голову, как свести концы с концами в бюджетах на 2016 год. Падающие доходы никак не покрывают растущие расходы.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Verdana" w:cs="Verdana" w:eastAsia="Verdana" w:hAnsi="Verdana"/>
          <w:color w:val="545353"/>
          <w:sz w:val="20"/>
          <w:szCs w:val="20"/>
          <w:highlight w:val="white"/>
          <w:rtl w:val="0"/>
        </w:rPr>
        <w:t xml:space="preserve">Мы решили взглянуть, как жили регионы последние пять лет, как менялись их расходы и сколько они тратят в расчете на одного жителя.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Verdana" w:cs="Verdana" w:eastAsia="Verdana" w:hAnsi="Verdana"/>
          <w:color w:val="545353"/>
          <w:sz w:val="20"/>
          <w:szCs w:val="20"/>
          <w:highlight w:val="white"/>
          <w:rtl w:val="0"/>
        </w:rPr>
        <w:t xml:space="preserve">В абсолютном значении бюджеты всех регионов с 2010 по 2014 год росли, но, как показали расчеты, инфляция сильно опережала этот рост. В реальном выражении расходы упали везде - за исключением одной Сахалинской области (+15,3%). Самое большое падение произошло в Тюменской области (-45,25%), Чеченской Республике (-45,21%) и Приморском крае (-44,67%). В половине регионов расходы упали более чем на 25%.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Verdana" w:cs="Verdana" w:eastAsia="Verdana" w:hAnsi="Verdana"/>
          <w:color w:val="545353"/>
          <w:sz w:val="20"/>
          <w:szCs w:val="20"/>
          <w:highlight w:val="white"/>
          <w:rtl w:val="0"/>
        </w:rPr>
        <w:t xml:space="preserve">Как правило, регионы с маленькими бюджетами сокращали расходы интенсивнее, чем более благополучные регионы - бедные беднеют быстрее богатых.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Verdana" w:cs="Verdana" w:eastAsia="Verdana" w:hAnsi="Verdana"/>
          <w:color w:val="545353"/>
          <w:sz w:val="20"/>
          <w:szCs w:val="20"/>
          <w:highlight w:val="white"/>
          <w:rtl w:val="0"/>
        </w:rPr>
        <w:t xml:space="preserve">В инфографике также видно, какие регионы все еще входят в зону “относительного благополучия” (расходы выше 100 тыс. руб. на одного жителя в год), а какие - находятся за чертой “относительной бедности” (расходы менее 40 тыс. руб. на одного жителя в год). Этот разрыв между регионами интересен и сам по себе и в динамике по годам.   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Verdana" w:cs="Verdana" w:eastAsia="Verdana" w:hAnsi="Verdana"/>
          <w:color w:val="545353"/>
          <w:sz w:val="20"/>
          <w:szCs w:val="20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Методика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Verdana" w:cs="Verdana" w:eastAsia="Verdana" w:hAnsi="Verdana"/>
          <w:color w:val="545353"/>
          <w:sz w:val="20"/>
          <w:szCs w:val="20"/>
          <w:highlight w:val="white"/>
          <w:rtl w:val="0"/>
        </w:rPr>
        <w:t xml:space="preserve">Все регионы распределены по 19 местам в рейтинге (шкала с шагом 2%). Чем меньше упали расходы, тем выше место региона.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Verdana" w:cs="Verdana" w:eastAsia="Verdana" w:hAnsi="Verdana"/>
          <w:color w:val="545353"/>
          <w:sz w:val="20"/>
          <w:szCs w:val="20"/>
          <w:highlight w:val="white"/>
          <w:rtl w:val="0"/>
        </w:rPr>
        <w:t xml:space="preserve">Изменение расходов - это отношение расходов бюджета региона на 1 жителя в 2014 году в ценах 2010-го (то есть с учетом инфляции за эти годы) к расходам бюджета на одного жителя в 2010 году.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Verdana" w:cs="Verdana" w:eastAsia="Verdana" w:hAnsi="Verdana"/>
          <w:color w:val="545353"/>
          <w:sz w:val="20"/>
          <w:szCs w:val="20"/>
          <w:highlight w:val="white"/>
          <w:rtl w:val="0"/>
        </w:rPr>
        <w:t xml:space="preserve">Для расчета использовались данные Росстата (</w:t>
      </w:r>
      <w:hyperlink r:id="rId7">
        <w:r w:rsidDel="00000000" w:rsidR="00000000" w:rsidRPr="00000000">
          <w:rPr>
            <w:rFonts w:ascii="Verdana" w:cs="Verdana" w:eastAsia="Verdana" w:hAnsi="Verdana"/>
            <w:color w:val="1155cc"/>
            <w:sz w:val="20"/>
            <w:szCs w:val="20"/>
            <w:highlight w:val="white"/>
            <w:u w:val="single"/>
            <w:rtl w:val="0"/>
          </w:rPr>
          <w:t xml:space="preserve">www.gks.ru</w:t>
        </w:r>
      </w:hyperlink>
      <w:r w:rsidDel="00000000" w:rsidR="00000000" w:rsidRPr="00000000">
        <w:rPr>
          <w:rFonts w:ascii="Verdana" w:cs="Verdana" w:eastAsia="Verdana" w:hAnsi="Verdana"/>
          <w:color w:val="545353"/>
          <w:sz w:val="20"/>
          <w:szCs w:val="20"/>
          <w:highlight w:val="white"/>
          <w:rtl w:val="0"/>
        </w:rPr>
        <w:t xml:space="preserve">) о численности населения в 2010-м и 2014-м годах, размере инфляции за 2010-2014 годы. Источник данных о расходах региональных бюджетов - Минфин РФ (</w:t>
      </w:r>
      <w:hyperlink r:id="rId8">
        <w:r w:rsidDel="00000000" w:rsidR="00000000" w:rsidRPr="00000000">
          <w:rPr>
            <w:rFonts w:ascii="Verdana" w:cs="Verdana" w:eastAsia="Verdana" w:hAnsi="Verdana"/>
            <w:color w:val="1155cc"/>
            <w:sz w:val="20"/>
            <w:szCs w:val="20"/>
            <w:highlight w:val="white"/>
            <w:u w:val="single"/>
            <w:rtl w:val="0"/>
          </w:rPr>
          <w:t xml:space="preserve">http://info.minfin.ru</w:t>
        </w:r>
      </w:hyperlink>
      <w:r w:rsidDel="00000000" w:rsidR="00000000" w:rsidRPr="00000000">
        <w:rPr>
          <w:rFonts w:ascii="Verdana" w:cs="Verdana" w:eastAsia="Verdana" w:hAnsi="Verdana"/>
          <w:color w:val="545353"/>
          <w:sz w:val="20"/>
          <w:szCs w:val="20"/>
          <w:highlight w:val="white"/>
          <w:rtl w:val="0"/>
        </w:rPr>
        <w:t xml:space="preserve">).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right"/>
      </w:pPr>
      <w:r w:rsidDel="00000000" w:rsidR="00000000" w:rsidRPr="00000000">
        <w:rPr>
          <w:b w:val="1"/>
          <w:rtl w:val="0"/>
        </w:rPr>
        <w:t xml:space="preserve">Аналитическая компания “Просто цифры”,</w:t>
      </w:r>
    </w:p>
    <w:p w:rsidR="00000000" w:rsidDel="00000000" w:rsidP="00000000" w:rsidRDefault="00000000" w:rsidRPr="00000000">
      <w:pPr>
        <w:contextualSpacing w:val="0"/>
        <w:jc w:val="right"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www.prostocifry.ru</w:t>
        </w:r>
      </w:hyperlink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  <w:t xml:space="preserve">Вопросы по рейтингу и правам на его использование задавайте по почте, на адрес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mail@prostocifry.ru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headerReference r:id="rId11" w:type="default"/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header" Target="header1.xml"/><Relationship Id="rId10" Type="http://schemas.openxmlformats.org/officeDocument/2006/relationships/hyperlink" Target="mailto:mail@prostocifry.ru" TargetMode="External"/><Relationship Id="rId9" Type="http://schemas.openxmlformats.org/officeDocument/2006/relationships/hyperlink" Target="http://www.prostocifry.ru" TargetMode="External"/><Relationship Id="rId5" Type="http://schemas.openxmlformats.org/officeDocument/2006/relationships/image" Target="media/image01.jpg"/><Relationship Id="rId6" Type="http://schemas.openxmlformats.org/officeDocument/2006/relationships/hyperlink" Target="http://www.prostocifry.ru" TargetMode="External"/><Relationship Id="rId7" Type="http://schemas.openxmlformats.org/officeDocument/2006/relationships/hyperlink" Target="http://www.gks.ru" TargetMode="External"/><Relationship Id="rId8" Type="http://schemas.openxmlformats.org/officeDocument/2006/relationships/hyperlink" Target="http://info.minfin.ru" TargetMode="External"/></Relationships>
</file>